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D232E" w:rsidRDefault="00E96BC3">
      <w:pPr>
        <w:shd w:val="clear" w:color="auto" w:fill="FFFFFF"/>
        <w:spacing w:after="0" w:line="240" w:lineRule="auto"/>
        <w:rPr>
          <w:rFonts w:ascii="Garamond" w:eastAsia="Garamond" w:hAnsi="Garamond" w:cs="Garamond"/>
          <w:b/>
          <w:color w:val="222222"/>
          <w:sz w:val="28"/>
          <w:szCs w:val="28"/>
        </w:rPr>
      </w:pPr>
      <w:bookmarkStart w:id="0" w:name="_GoBack"/>
      <w:bookmarkEnd w:id="0"/>
      <w:r>
        <w:rPr>
          <w:b/>
          <w:color w:val="222222"/>
          <w:sz w:val="32"/>
          <w:szCs w:val="32"/>
        </w:rPr>
        <w:t>Dr. William van't Hoff</w:t>
      </w:r>
      <w:r>
        <w:rPr>
          <w:b/>
          <w:color w:val="222222"/>
        </w:rPr>
        <w:t> </w:t>
      </w:r>
    </w:p>
    <w:p w14:paraId="00000002" w14:textId="77777777" w:rsidR="00FD232E" w:rsidRDefault="00E96BC3">
      <w:pPr>
        <w:shd w:val="clear" w:color="auto" w:fill="FFFFFF"/>
        <w:spacing w:after="0" w:line="240" w:lineRule="auto"/>
        <w:jc w:val="center"/>
        <w:rPr>
          <w:rFonts w:ascii="Arial" w:eastAsia="Arial" w:hAnsi="Arial" w:cs="Arial"/>
          <w:color w:val="222222"/>
          <w:sz w:val="20"/>
          <w:szCs w:val="20"/>
        </w:rPr>
      </w:pPr>
      <w:r>
        <w:rPr>
          <w:b/>
          <w:color w:val="222222"/>
        </w:rPr>
        <w:t> </w:t>
      </w:r>
    </w:p>
    <w:p w14:paraId="00000003" w14:textId="69C20F19" w:rsidR="00FD232E" w:rsidRDefault="00E96BC3">
      <w:pPr>
        <w:shd w:val="clear" w:color="auto" w:fill="FFFFFF"/>
        <w:spacing w:after="0" w:line="240" w:lineRule="auto"/>
        <w:rPr>
          <w:rFonts w:ascii="Arial" w:eastAsia="Arial" w:hAnsi="Arial" w:cs="Arial"/>
          <w:color w:val="222222"/>
          <w:sz w:val="20"/>
          <w:szCs w:val="20"/>
        </w:rPr>
      </w:pPr>
      <w:r>
        <w:rPr>
          <w:color w:val="222222"/>
        </w:rPr>
        <w:t>Dr William van’t Hoff is the Chief Executive Officer for</w:t>
      </w:r>
      <w:r w:rsidR="00324C02">
        <w:rPr>
          <w:color w:val="222222"/>
        </w:rPr>
        <w:t xml:space="preserve"> NIHR Clinical Research Network</w:t>
      </w:r>
      <w:r>
        <w:rPr>
          <w:b/>
          <w:color w:val="222222"/>
        </w:rPr>
        <w:t> . </w:t>
      </w:r>
      <w:r>
        <w:rPr>
          <w:color w:val="222222"/>
        </w:rPr>
        <w:t>His previous post was as a</w:t>
      </w:r>
      <w:r>
        <w:rPr>
          <w:b/>
          <w:color w:val="222222"/>
        </w:rPr>
        <w:t> </w:t>
      </w:r>
      <w:r>
        <w:rPr>
          <w:color w:val="222222"/>
        </w:rPr>
        <w:t>Consultant Paediatric Nephrologist and Director of the NIHR Clinical Research Facility at Great Ormond Street Hospital, London. In that capacity he had strong clinical and research interests in renal tubular, metabolic and stone disorders.</w:t>
      </w:r>
    </w:p>
    <w:p w14:paraId="00000004" w14:textId="77777777" w:rsidR="00FD232E" w:rsidRDefault="00FD232E">
      <w:pPr>
        <w:shd w:val="clear" w:color="auto" w:fill="FFFFFF"/>
        <w:spacing w:after="0" w:line="240" w:lineRule="auto"/>
        <w:rPr>
          <w:rFonts w:ascii="Arial" w:eastAsia="Arial" w:hAnsi="Arial" w:cs="Arial"/>
          <w:color w:val="222222"/>
          <w:sz w:val="20"/>
          <w:szCs w:val="20"/>
        </w:rPr>
      </w:pPr>
    </w:p>
    <w:p w14:paraId="00000005" w14:textId="77777777" w:rsidR="00FD232E" w:rsidRDefault="00E96BC3">
      <w:pPr>
        <w:shd w:val="clear" w:color="auto" w:fill="FFFFFF"/>
        <w:spacing w:after="0" w:line="240" w:lineRule="auto"/>
        <w:rPr>
          <w:rFonts w:ascii="Arial" w:eastAsia="Arial" w:hAnsi="Arial" w:cs="Arial"/>
          <w:color w:val="222222"/>
          <w:sz w:val="20"/>
          <w:szCs w:val="20"/>
        </w:rPr>
      </w:pPr>
      <w:bookmarkStart w:id="1" w:name="_gjdgxs" w:colFirst="0" w:colLast="0"/>
      <w:bookmarkEnd w:id="1"/>
      <w:r>
        <w:rPr>
          <w:color w:val="222222"/>
        </w:rPr>
        <w:t>He has worked in NIHR since 2006, initially leading a London based NIHR Local Research Network and later as Co-Director of the NIHR CRN Medicines for Children Research Network. Key strategic objectives were to increase the involvement of life-sciences in offering new treatment options for children and to empower children and young people in improving research (which led to Generation R). He left this role in 2016, taking up a post of NIHR CRN Clinical Director for NHS Engagement, in which he led a partnership with NIHR, HRA, R&amp;D community and patients, working with the CQC to integrate clinical research into their assessments of hospitals. </w:t>
      </w:r>
    </w:p>
    <w:p w14:paraId="00000006" w14:textId="77777777" w:rsidR="00FD232E" w:rsidRDefault="00FD232E"/>
    <w:sectPr w:rsidR="00FD232E">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32E"/>
    <w:rsid w:val="00324C02"/>
    <w:rsid w:val="007466E6"/>
    <w:rsid w:val="00E96BC3"/>
    <w:rsid w:val="00FD2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977A"/>
  <w15:docId w15:val="{54983440-DAE0-44E3-ACFA-F0632EDC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Haley</dc:creator>
  <cp:lastModifiedBy>Sue Haley</cp:lastModifiedBy>
  <cp:revision>2</cp:revision>
  <dcterms:created xsi:type="dcterms:W3CDTF">2020-10-07T11:27:00Z</dcterms:created>
  <dcterms:modified xsi:type="dcterms:W3CDTF">2020-10-07T11:27:00Z</dcterms:modified>
</cp:coreProperties>
</file>